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E61474" w14:textId="77777777" w:rsidR="009F75F1" w:rsidRPr="009F75F1" w:rsidRDefault="009F75F1" w:rsidP="009F75F1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HRVATSKI UČITELJSKI DOM</w:t>
      </w:r>
    </w:p>
    <w:p w14:paraId="58AB5B7D" w14:textId="2BFEF8A0" w:rsidR="009F75F1" w:rsidRPr="0072436E" w:rsidRDefault="009F75F1" w:rsidP="009F75F1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U graditeljskom zamahu koji je uslijedio nakon velikoga potresa 1880., u samo godinu dana (1888. − 1889.) izgrađen je Hrvatski učiteljski dom u zapadnom dijelu Zelene potkove, na jugoistočnom uglu </w:t>
      </w:r>
      <w:r w:rsidR="00524DC0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dota</w:t>
      </w: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dašnjega Sajmišta</w:t>
      </w:r>
      <w:r w:rsidR="00F37187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</w:t>
      </w:r>
      <w:r w:rsidR="00055884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od</w:t>
      </w:r>
      <w:r w:rsidR="00F37187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1888. Sveučilišni trg,)</w:t>
      </w: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 a današnjega Trga Republike Hrvatske.</w:t>
      </w:r>
    </w:p>
    <w:p w14:paraId="40E1B0D6" w14:textId="264DF49D" w:rsidR="009F75F1" w:rsidRPr="009F75F1" w:rsidRDefault="00524DC0" w:rsidP="009F75F1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Knjigom i i</w:t>
      </w:r>
      <w:r w:rsidR="009F75F1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zložbom o Hrvatskom učiteljskom domu Hrvatski školski muzej želi podsjetiti na </w:t>
      </w: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njegove arhitektonske </w:t>
      </w:r>
      <w:r w:rsidR="00F37187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i urbanističke </w:t>
      </w: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vrijednosti</w:t>
      </w:r>
      <w:r w:rsidR="00F37187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</w:t>
      </w: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na </w:t>
      </w:r>
      <w:r w:rsidR="009F75F1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povijesne okolnosti njegove izgradnje, </w:t>
      </w: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osobito </w:t>
      </w:r>
      <w:r w:rsidR="009F75F1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na prosvjetiteljska nastojanja generacije učitelja koja ga je gradila</w:t>
      </w: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</w:t>
      </w:r>
      <w:r w:rsidR="009F75F1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te na rad Hrvatskoga školskog muzeja </w:t>
      </w: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koji u njemu djeluje od 1901. </w:t>
      </w:r>
      <w:r w:rsidR="009F75F1"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kao riznic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a</w:t>
      </w:r>
      <w:r w:rsidR="009F75F1"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i čuvar hrvatske školske i kulturne baštine. Važnu ulogu u izgradnji Doma imale su učiteljske udruge – Učiteljska zadruga (1865.) Hrvatski pedagoško-književni zbor (1871.) i Savez Hrvatski učiteljskih društava (1885.). – osnovane sa svrhom solidarnoga djelovanja i međusobnoga pomaganja u učiteljskoj zajednici te promicanja materijalnoga položaja, obrazovanja i stručnoga usavršavanja učitelja. Prvi predsjednik svih triju udruga bio je učitelj Ivan Filipović (1823. – 1895.), koji se svojim organizatorskim sposobnostima i liderskim vještinama nametnuo kao vođa hrvatskoga učiteljstva i kreator smjera njegova djelovanja u sljedećim desetljećima. Osnažena učiteljska zajednica afirmirat će se kao relevantan čimbenik prosvjetnoga i kulturnoga života Hrvatske.</w:t>
      </w:r>
    </w:p>
    <w:p w14:paraId="2D49E732" w14:textId="05333ABF" w:rsidR="009F75F1" w:rsidRPr="009F75F1" w:rsidRDefault="009F75F1" w:rsidP="009F75F1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Hrvatski učiteljski svečano je otvoren 4. rujna 1889. godine. Bio je to u čitavoj Austro-Ugarskoj Monarhiji jedinstven primjer ciljano građene zgrade za rad učiteljskih društava, 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nakon Leipziga, 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drugi takav u Europi. Projekt je povjeren arhitektu Leu Hönigsbergu (1861. – 1911.). Odabrana lokacija trga na kojem će Učiteljski dom biti među „</w:t>
      </w:r>
      <w:r w:rsidRPr="009F75F1"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  <w:t>pet velikih sgradah koje su posvećene kulturnim svrhama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” odgovarala je ideji investitora o društvenoj važnosti palače koju podižu, a arhitekta obvezala da Učiteljskom domu podari reprezentativan karakter. Gradnja je povjerena uglednom arhitektu i graditelju onoga doba Kuni Waidmannu. </w:t>
      </w:r>
    </w:p>
    <w:p w14:paraId="073740C2" w14:textId="69CDDD63" w:rsidR="009F75F1" w:rsidRPr="00D7374C" w:rsidRDefault="009F75F1" w:rsidP="00D7374C">
      <w:pPr>
        <w:jc w:val="both"/>
        <w:rPr>
          <w:color w:val="FF0000"/>
        </w:rPr>
      </w:pP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Leo Hönigsberg projektirao je Hrvatski učiteljski dom kao slobodnostojeću ugaonu dvokatnicu s visokim prizemljem. Glavnim pročeljem zgrada je bila okrenuta Sveučilišnom trgu, danas Trgu Republike Hrvatske, a dužim južnim Kukovićevoj, danas Hebrangovoj ulici. </w:t>
      </w:r>
      <w:r w:rsidR="00F37187" w:rsidRPr="004E10CA">
        <w:rPr>
          <w:rFonts w:ascii="Times New Roman" w:hAnsi="Times New Roman" w:cs="Times New Roman"/>
          <w:sz w:val="24"/>
          <w:szCs w:val="24"/>
        </w:rPr>
        <w:t xml:space="preserve">U oba krila i na svim etažama, uključujući i podrum, raspored prostora temelji se na uzdužno položenom hodniku i s njegove obje strane postavljenim prostorijama. U njihovu ujednačenome nizu istaknuta su stubišta jer </w:t>
      </w:r>
      <w:r w:rsidR="00F37187" w:rsidRPr="004E10CA">
        <w:rPr>
          <w:rFonts w:ascii="Times New Roman" w:hAnsi="Times New Roman" w:cs="Times New Roman"/>
          <w:noProof/>
          <w:sz w:val="24"/>
          <w:szCs w:val="24"/>
        </w:rPr>
        <w:t>rizalitom</w:t>
      </w:r>
      <w:r w:rsidR="00F37187" w:rsidRPr="004E10CA">
        <w:rPr>
          <w:rFonts w:ascii="Times New Roman" w:hAnsi="Times New Roman" w:cs="Times New Roman"/>
          <w:sz w:val="24"/>
          <w:szCs w:val="24"/>
        </w:rPr>
        <w:t xml:space="preserve"> izbijaju na dvorišna pročelja. Stubišta su osno postavljena u nastavku obaju ulaza u zgradu</w:t>
      </w:r>
      <w:r w:rsidR="00745ABC" w:rsidRPr="004E10CA">
        <w:rPr>
          <w:rFonts w:ascii="Times New Roman" w:hAnsi="Times New Roman" w:cs="Times New Roman"/>
          <w:sz w:val="24"/>
          <w:szCs w:val="24"/>
        </w:rPr>
        <w:t>,</w:t>
      </w:r>
      <w:r w:rsidR="00F37187" w:rsidRPr="004E10CA">
        <w:rPr>
          <w:rFonts w:ascii="Times New Roman" w:hAnsi="Times New Roman" w:cs="Times New Roman"/>
          <w:sz w:val="24"/>
          <w:szCs w:val="24"/>
        </w:rPr>
        <w:t xml:space="preserve"> reprezentativnoga portala na glavnom pročelju i znatno skromnijega ulaza na bočnom. </w:t>
      </w:r>
      <w:r w:rsidR="00745ABC" w:rsidRPr="004E10CA">
        <w:rPr>
          <w:rFonts w:ascii="Times New Roman" w:hAnsi="Times New Roman" w:cs="Times New Roman"/>
          <w:sz w:val="24"/>
          <w:szCs w:val="24"/>
        </w:rPr>
        <w:t>J</w:t>
      </w:r>
      <w:r w:rsidR="00F37187" w:rsidRPr="004E10CA">
        <w:rPr>
          <w:rFonts w:ascii="Times New Roman" w:hAnsi="Times New Roman" w:cs="Times New Roman"/>
          <w:sz w:val="24"/>
          <w:szCs w:val="24"/>
        </w:rPr>
        <w:t>ednako oblikovana</w:t>
      </w:r>
      <w:r w:rsidR="00745ABC" w:rsidRPr="004E10CA">
        <w:rPr>
          <w:rFonts w:ascii="Times New Roman" w:hAnsi="Times New Roman" w:cs="Times New Roman"/>
          <w:sz w:val="24"/>
          <w:szCs w:val="24"/>
        </w:rPr>
        <w:t xml:space="preserve"> oba stubišta u</w:t>
      </w:r>
      <w:r w:rsidR="00F37187" w:rsidRPr="004E10CA">
        <w:rPr>
          <w:rFonts w:ascii="Times New Roman" w:hAnsi="Times New Roman" w:cs="Times New Roman"/>
          <w:sz w:val="24"/>
          <w:szCs w:val="24"/>
        </w:rPr>
        <w:t xml:space="preserve">spinju se paralelno postavljenim krakovima s u kamenu klesanim stubama. </w:t>
      </w:r>
      <w:r w:rsidR="00745ABC" w:rsidRPr="004E10CA">
        <w:rPr>
          <w:rFonts w:ascii="Times New Roman" w:hAnsi="Times New Roman" w:cs="Times New Roman"/>
          <w:sz w:val="24"/>
          <w:szCs w:val="24"/>
        </w:rPr>
        <w:t>K</w:t>
      </w:r>
      <w:r w:rsidR="00F37187" w:rsidRPr="004E10CA">
        <w:rPr>
          <w:rFonts w:ascii="Times New Roman" w:hAnsi="Times New Roman" w:cs="Times New Roman"/>
          <w:sz w:val="24"/>
          <w:szCs w:val="24"/>
        </w:rPr>
        <w:t xml:space="preserve">roz portal na zapadnom pročelju </w:t>
      </w:r>
      <w:r w:rsidR="00745ABC" w:rsidRPr="004E10CA">
        <w:rPr>
          <w:rFonts w:ascii="Times New Roman" w:hAnsi="Times New Roman" w:cs="Times New Roman"/>
          <w:sz w:val="24"/>
          <w:szCs w:val="24"/>
        </w:rPr>
        <w:t>pristupa se vestibul</w:t>
      </w:r>
      <w:r w:rsidR="0053599B" w:rsidRPr="004E10CA">
        <w:rPr>
          <w:rFonts w:ascii="Times New Roman" w:hAnsi="Times New Roman" w:cs="Times New Roman"/>
          <w:sz w:val="24"/>
          <w:szCs w:val="24"/>
        </w:rPr>
        <w:t>, a i</w:t>
      </w:r>
      <w:r w:rsidR="00F37187" w:rsidRPr="004E10CA">
        <w:rPr>
          <w:rFonts w:ascii="Times New Roman" w:hAnsi="Times New Roman" w:cs="Times New Roman"/>
          <w:sz w:val="24"/>
          <w:szCs w:val="24"/>
        </w:rPr>
        <w:t>z njegova prostora svečano se kamenim stubama pristupa u unutrašnjosti zgrade.</w:t>
      </w:r>
      <w:r w:rsidR="0053599B" w:rsidRPr="004E10CA">
        <w:rPr>
          <w:rFonts w:ascii="Times New Roman" w:hAnsi="Times New Roman" w:cs="Times New Roman"/>
          <w:sz w:val="24"/>
          <w:szCs w:val="24"/>
        </w:rPr>
        <w:t xml:space="preserve"> </w:t>
      </w:r>
      <w:r w:rsidR="00F37187" w:rsidRPr="004E10CA">
        <w:rPr>
          <w:rFonts w:ascii="Times New Roman" w:hAnsi="Times New Roman" w:cs="Times New Roman"/>
          <w:sz w:val="24"/>
          <w:szCs w:val="24"/>
        </w:rPr>
        <w:t>U prizemlju zapadnoga krila, u velikim prostorijama orijentiranim prema trgu, između kojih je vestibul, smještene su najveće prostorije</w:t>
      </w:r>
      <w:r w:rsidR="0053599B" w:rsidRPr="004E10CA">
        <w:rPr>
          <w:rFonts w:ascii="Times New Roman" w:hAnsi="Times New Roman" w:cs="Times New Roman"/>
          <w:sz w:val="24"/>
          <w:szCs w:val="24"/>
        </w:rPr>
        <w:t xml:space="preserve"> namijenjene </w:t>
      </w:r>
      <w:r w:rsidR="004E10CA" w:rsidRPr="0072436E">
        <w:rPr>
          <w:rFonts w:ascii="Times New Roman" w:hAnsi="Times New Roman" w:cs="Times New Roman"/>
          <w:sz w:val="24"/>
          <w:szCs w:val="24"/>
        </w:rPr>
        <w:t>čitaonicama i velikoj dvorani za okupljanja učitelja</w:t>
      </w:r>
      <w:r w:rsidR="004E10CA" w:rsidRPr="00DC552D">
        <w:rPr>
          <w:rFonts w:ascii="Times New Roman" w:hAnsi="Times New Roman" w:cs="Times New Roman"/>
          <w:color w:val="0070C0"/>
          <w:sz w:val="24"/>
          <w:szCs w:val="24"/>
        </w:rPr>
        <w:t xml:space="preserve">. </w:t>
      </w:r>
      <w:r w:rsidR="00F37187" w:rsidRPr="004E10CA">
        <w:rPr>
          <w:rFonts w:ascii="Times New Roman" w:hAnsi="Times New Roman" w:cs="Times New Roman"/>
          <w:sz w:val="24"/>
          <w:szCs w:val="24"/>
        </w:rPr>
        <w:t>Na prvom i drugom katu bila su po četiri stana, raspoređena po dva na svakom katu stubišta, u svrhu najma</w:t>
      </w:r>
      <w:r w:rsidR="00F37187" w:rsidRPr="004E10CA">
        <w:rPr>
          <w:rFonts w:ascii="Times New Roman" w:hAnsi="Times New Roman" w:cs="Times New Roman"/>
          <w:iCs/>
          <w:sz w:val="24"/>
          <w:szCs w:val="24"/>
        </w:rPr>
        <w:t>.</w:t>
      </w:r>
      <w:r w:rsidR="00F37187" w:rsidRPr="004E10CA">
        <w:rPr>
          <w:rFonts w:ascii="Times New Roman" w:hAnsi="Times New Roman" w:cs="Times New Roman"/>
          <w:sz w:val="24"/>
          <w:szCs w:val="24"/>
        </w:rPr>
        <w:t xml:space="preserve"> Prema projektu, gornji katovi ponavljaju smještaj velikih soba uz trg i </w:t>
      </w:r>
      <w:r w:rsidR="00F37187" w:rsidRPr="004E10CA">
        <w:rPr>
          <w:rFonts w:ascii="Times New Roman" w:hAnsi="Times New Roman" w:cs="Times New Roman"/>
          <w:noProof/>
          <w:sz w:val="24"/>
          <w:szCs w:val="24"/>
        </w:rPr>
        <w:t>Hebrangovu</w:t>
      </w:r>
      <w:r w:rsidR="00F37187" w:rsidRPr="004E10CA">
        <w:rPr>
          <w:rFonts w:ascii="Times New Roman" w:hAnsi="Times New Roman" w:cs="Times New Roman"/>
          <w:sz w:val="24"/>
          <w:szCs w:val="24"/>
        </w:rPr>
        <w:t xml:space="preserve"> ulicu, dok se hodnicima duž krila pristupa u servisne prostorije na dvorišnoj strani.</w:t>
      </w:r>
      <w:r w:rsidR="00D7374C" w:rsidRPr="004E10CA">
        <w:rPr>
          <w:rFonts w:ascii="Times New Roman" w:hAnsi="Times New Roman" w:cs="Times New Roman"/>
          <w:sz w:val="24"/>
          <w:szCs w:val="24"/>
        </w:rPr>
        <w:t xml:space="preserve"> Pročelja Hrvatskog učiteljskog doma čini kompozicija neorenesansnih i neobaroknih elemenata. </w:t>
      </w:r>
      <w:r w:rsidRPr="004E10CA">
        <w:rPr>
          <w:rFonts w:ascii="Times New Roman" w:eastAsia="Calibri" w:hAnsi="Times New Roman" w:cs="Times New Roman"/>
          <w:noProof/>
          <w:kern w:val="0"/>
          <w:sz w:val="24"/>
          <w:szCs w:val="24"/>
          <w14:ligatures w14:val="none"/>
        </w:rPr>
        <w:t>Hönigsberg</w:t>
      </w:r>
      <w:r w:rsidRPr="004E10C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je najreprezentativnije oblikovao zapadno pročelje prema trgu i budućem kazalištu</w:t>
      </w:r>
      <w:r w:rsidR="001D5B5B" w:rsidRPr="004E10C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</w:t>
      </w:r>
      <w:r w:rsidR="001D5B5B" w:rsidRPr="004E10CA">
        <w:rPr>
          <w:rFonts w:ascii="Times New Roman" w:hAnsi="Times New Roman" w:cs="Times New Roman"/>
          <w:sz w:val="24"/>
          <w:szCs w:val="24"/>
        </w:rPr>
        <w:t>premda je kraće od južnoga</w:t>
      </w:r>
      <w:r w:rsidRPr="004E10C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. Podijeljeno je sa sedam prozorskih osi, 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 xml:space="preserve">tako da je srednja, ulazna, </w:t>
      </w:r>
      <w:r w:rsidRPr="009F75F1">
        <w:rPr>
          <w:rFonts w:ascii="Times New Roman" w:eastAsia="Calibri" w:hAnsi="Times New Roman" w:cs="Times New Roman"/>
          <w:noProof/>
          <w:kern w:val="0"/>
          <w:sz w:val="24"/>
          <w:szCs w:val="24"/>
          <w14:ligatures w14:val="none"/>
        </w:rPr>
        <w:t>rizalitno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istaknuta. U prizemlju </w:t>
      </w:r>
      <w:r w:rsidRPr="009F75F1">
        <w:rPr>
          <w:rFonts w:ascii="Times New Roman" w:eastAsia="Calibri" w:hAnsi="Times New Roman" w:cs="Times New Roman"/>
          <w:noProof/>
          <w:kern w:val="0"/>
          <w:sz w:val="24"/>
          <w:szCs w:val="24"/>
          <w14:ligatures w14:val="none"/>
        </w:rPr>
        <w:t>rizalita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ulazni je portal u zgradu do kojega su dvije niše namijenjene skulpturama. Na katovima </w:t>
      </w:r>
      <w:r w:rsidRPr="009F75F1">
        <w:rPr>
          <w:rFonts w:ascii="Times New Roman" w:eastAsia="Calibri" w:hAnsi="Times New Roman" w:cs="Times New Roman"/>
          <w:noProof/>
          <w:kern w:val="0"/>
          <w:sz w:val="24"/>
          <w:szCs w:val="24"/>
          <w14:ligatures w14:val="none"/>
        </w:rPr>
        <w:t>rizalit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rube parovi </w:t>
      </w:r>
      <w:r w:rsidRPr="009F75F1">
        <w:rPr>
          <w:rFonts w:ascii="Times New Roman" w:eastAsia="Calibri" w:hAnsi="Times New Roman" w:cs="Times New Roman"/>
          <w:noProof/>
          <w:kern w:val="0"/>
          <w:sz w:val="24"/>
          <w:szCs w:val="24"/>
          <w14:ligatures w14:val="none"/>
        </w:rPr>
        <w:t>korintskih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stupova koji se uspinju njegovom visinom i u zoni </w:t>
      </w:r>
      <w:r w:rsidRPr="009F75F1">
        <w:rPr>
          <w:rFonts w:ascii="Times New Roman" w:eastAsia="Calibri" w:hAnsi="Times New Roman" w:cs="Times New Roman"/>
          <w:noProof/>
          <w:kern w:val="0"/>
          <w:sz w:val="24"/>
          <w:szCs w:val="24"/>
          <w14:ligatures w14:val="none"/>
        </w:rPr>
        <w:t>atike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nose trokutni zabat. Iznad zabata je, u njegovoj punoj širini, zid koji nosi figuralnu alegorijsku skupinu koja označuje identitet zgrade. </w:t>
      </w:r>
      <w:r w:rsidR="00D7374C" w:rsidRPr="0072436E">
        <w:rPr>
          <w:rFonts w:ascii="Times New Roman" w:hAnsi="Times New Roman" w:cs="Times New Roman"/>
          <w:sz w:val="24"/>
          <w:szCs w:val="24"/>
        </w:rPr>
        <w:t xml:space="preserve">Piramidalno oblikovanu kamenu kompoziciju </w:t>
      </w:r>
      <w:r w:rsidR="00D7374C" w:rsidRPr="0072436E">
        <w:rPr>
          <w:rFonts w:ascii="Times New Roman" w:hAnsi="Times New Roman" w:cs="Times New Roman"/>
          <w:i/>
          <w:iCs/>
          <w:sz w:val="24"/>
          <w:szCs w:val="24"/>
        </w:rPr>
        <w:t>Prosvjeta</w:t>
      </w:r>
      <w:r w:rsidR="00D7374C" w:rsidRPr="0072436E">
        <w:rPr>
          <w:rFonts w:ascii="Times New Roman" w:hAnsi="Times New Roman" w:cs="Times New Roman"/>
          <w:sz w:val="24"/>
          <w:szCs w:val="24"/>
        </w:rPr>
        <w:t xml:space="preserve"> izradio je kipar Dragutin </w:t>
      </w:r>
      <w:r w:rsidR="00D7374C" w:rsidRPr="0072436E">
        <w:rPr>
          <w:rFonts w:ascii="Times New Roman" w:hAnsi="Times New Roman" w:cs="Times New Roman"/>
          <w:noProof/>
          <w:sz w:val="24"/>
          <w:szCs w:val="24"/>
        </w:rPr>
        <w:t>Morak</w:t>
      </w:r>
      <w:r w:rsidR="00D7374C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 Iza</w:t>
      </w: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9F75F1">
        <w:rPr>
          <w:rFonts w:ascii="Times New Roman" w:eastAsia="Calibri" w:hAnsi="Times New Roman" w:cs="Times New Roman"/>
          <w:noProof/>
          <w:kern w:val="0"/>
          <w:sz w:val="24"/>
          <w:szCs w:val="24"/>
          <w14:ligatures w14:val="none"/>
        </w:rPr>
        <w:t>rizalita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uzdiže se kupola koja zaključuje vrh pročelja. </w:t>
      </w:r>
      <w:r w:rsidRPr="009F75F1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Hönigsberg je u unutrašnjosti zgrade jednaku pažnju posvećivao dekorativnoj obradi zidova te unutrašnjoj opremi. </w:t>
      </w:r>
    </w:p>
    <w:p w14:paraId="632E7CF0" w14:textId="2CC25BB2" w:rsidR="009F75F1" w:rsidRPr="009F75F1" w:rsidRDefault="009F75F1" w:rsidP="009F75F1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Svijest o važnosti očuvanja i brige o povijesnome naslijeđu školstva u Hrvatskoj vodila je članove Hrvatskoga pedagoško-književnog zbora u sabiranju povijesne građe i, prema uzoru na postojeće europske zbirke i muzeje, osnivanje Hrvatskoga školskog muzeja, otvorenog 19. kolovoza 1901. godine. Javnosti je prezentiran stalni postav o povijesnom razvoju hrvatskoga školstva i postignućima njegovih učenika i učitelja od kraja 18. do početka 20. stoljeća. Najvrednija kulturno-povijesna cjelina bila je </w:t>
      </w:r>
      <w:r w:rsidRPr="009F75F1"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  <w:t>Pariška soba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 kojom se školstvo Kraljevine Hrvatske, Slavonije i Dalmacije predstavilo na Svjetskoj izložbi u Parizu 1900. godine.</w:t>
      </w:r>
      <w:r w:rsidR="00984C1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Hrvatski školski muzej predstavio je tijekom 122 godine 570 izložbi. Razvijena je vrlo živa interakcija s posjetiteljima, koja je dalje obogaćena drugim oblicima suradnje poput muzejskih radionica, gostovanja, pružanja stručne pomoći u istraživanjima i ostvarenju projekata. Otvorenje stalnoga postava, </w:t>
      </w:r>
      <w:r w:rsidRPr="009F75F1"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  <w:t>Hrvatsko školstvo do 1918. godine</w:t>
      </w: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 2000. godine bio je početak obilježavanja 100. obljetnice Muzeja. Hrvatski školski muzej u 2023. godini čuva 95 000 jedinica građe sistematizirane u deset zbirki i knjižnici. Pred Hrvatskim školskim muzejom i njegovim djelatnicima novi su izazovi obnove zgrade Hrvatskoga učiteljskog doma, planiranje i realizacija novoga stalnog postava, primjena suvremenih muzeoloških koncepcija i komunikacija s publikom.</w:t>
      </w:r>
    </w:p>
    <w:p w14:paraId="0875F309" w14:textId="7C1AF169" w:rsidR="002C0AB8" w:rsidRPr="002C0AB8" w:rsidRDefault="009F75F1" w:rsidP="002C0AB8">
      <w:pPr>
        <w:spacing w:after="12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Zgrada Hrvatskoga učiteljskog doma, zaštićeni spomenik kulture, dom Hrvatskoga školskog muzeja, teško je stradala u potresima 2020. godine. Osim što je vrijedan primjer arhitekture historicizma</w:t>
      </w:r>
      <w:r w:rsidR="00984C1D" w:rsidRPr="00984C1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984C1D" w:rsidRPr="0072436E">
        <w:rPr>
          <w:rFonts w:ascii="Times New Roman" w:hAnsi="Times New Roman" w:cs="Times New Roman"/>
          <w:sz w:val="24"/>
          <w:szCs w:val="24"/>
        </w:rPr>
        <w:t>u Zagrebu i nezaobilazna karika u formiranju urbanističkog ansambla zapadnog kraka Zelene potkove</w:t>
      </w: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 Hrvatski učiteljski dom</w:t>
      </w:r>
      <w:r w:rsidR="00F67DBA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je mjesto pamćenja generacija hrvatskoga učiteljstva</w:t>
      </w:r>
      <w:r w:rsidR="00984C1D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te </w:t>
      </w:r>
      <w:r w:rsidR="00984C1D" w:rsidRPr="0072436E">
        <w:rPr>
          <w:rFonts w:ascii="Times New Roman" w:hAnsi="Times New Roman" w:cs="Times New Roman"/>
          <w:sz w:val="24"/>
          <w:szCs w:val="24"/>
        </w:rPr>
        <w:t>riznica materijalne i nematerijalne baštine koj</w:t>
      </w:r>
      <w:r w:rsidR="0072436E" w:rsidRPr="0072436E">
        <w:rPr>
          <w:rFonts w:ascii="Times New Roman" w:hAnsi="Times New Roman" w:cs="Times New Roman"/>
          <w:sz w:val="24"/>
          <w:szCs w:val="24"/>
        </w:rPr>
        <w:t>u</w:t>
      </w:r>
      <w:r w:rsidR="00984C1D" w:rsidRPr="0072436E">
        <w:rPr>
          <w:rFonts w:ascii="Times New Roman" w:hAnsi="Times New Roman" w:cs="Times New Roman"/>
          <w:sz w:val="24"/>
          <w:szCs w:val="24"/>
        </w:rPr>
        <w:t xml:space="preserve"> u njemu čuva Hrvatski školski muzej. Očekujemo da će konstrukcijska, a potom i cjelovita obnova zgrade poštovati sve utvrđene vrijednosti, povijesne i ambijentalne, ali isto tako materijalne i nematerijalne. Polazeći od tih premisa, nadamo se da će mjerodavne institucije stvoriti preduvjete za njegovu </w:t>
      </w:r>
      <w:proofErr w:type="spellStart"/>
      <w:r w:rsidR="00984C1D" w:rsidRPr="0072436E">
        <w:rPr>
          <w:rFonts w:ascii="Times New Roman" w:hAnsi="Times New Roman" w:cs="Times New Roman"/>
          <w:sz w:val="24"/>
          <w:szCs w:val="24"/>
        </w:rPr>
        <w:t>muzealizaciju</w:t>
      </w:r>
      <w:proofErr w:type="spellEnd"/>
      <w:r w:rsidR="00984C1D" w:rsidRPr="0072436E">
        <w:rPr>
          <w:rFonts w:ascii="Times New Roman" w:hAnsi="Times New Roman" w:cs="Times New Roman"/>
          <w:sz w:val="24"/>
          <w:szCs w:val="24"/>
        </w:rPr>
        <w:t xml:space="preserve"> i osigurati sustavan pristup cjelovitoj obnovi zgrade. </w:t>
      </w:r>
      <w:r w:rsidR="002C0AB8" w:rsidRPr="0072436E">
        <w:rPr>
          <w:rFonts w:ascii="Times New Roman" w:hAnsi="Times New Roman" w:cs="Times New Roman"/>
          <w:sz w:val="24"/>
          <w:szCs w:val="24"/>
        </w:rPr>
        <w:t xml:space="preserve"> U tom smislu, kao polazišnu mjeru njegove preventivne zaštite, nužno je donijeti odluku o budućoj namjeni </w:t>
      </w:r>
      <w:r w:rsidR="002C0AB8" w:rsidRPr="0072436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Hrvatskoga učiteljskog doma </w:t>
      </w:r>
      <w:r w:rsidR="002C0AB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jer u njemu mjesto samo onim</w:t>
      </w:r>
      <w:r w:rsidR="00CE6676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stanarima</w:t>
      </w:r>
      <w:r w:rsidR="002C0AB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2C0AB8"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koji će njegovu baštinsku „auru” živjeti, nadograđivati i komunicirati ju s javnosti.</w:t>
      </w:r>
      <w:r w:rsidR="002C0AB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 </w:t>
      </w:r>
    </w:p>
    <w:p w14:paraId="097BEC9E" w14:textId="463AD043" w:rsidR="009F75F1" w:rsidRPr="009F75F1" w:rsidRDefault="009F75F1" w:rsidP="009F75F1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2310C50" w14:textId="77777777" w:rsidR="009F75F1" w:rsidRPr="009F75F1" w:rsidRDefault="009F75F1" w:rsidP="009F75F1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F75F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                                                                                                                   Autorice izložbe</w:t>
      </w:r>
    </w:p>
    <w:p w14:paraId="02583100" w14:textId="77777777" w:rsidR="00BF6CEE" w:rsidRDefault="00BF6CEE"/>
    <w:sectPr w:rsidR="00BF6C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3F3C14" w14:textId="77777777" w:rsidR="00617C93" w:rsidRDefault="00617C93" w:rsidP="00F37187">
      <w:pPr>
        <w:spacing w:after="0" w:line="240" w:lineRule="auto"/>
      </w:pPr>
      <w:r>
        <w:separator/>
      </w:r>
    </w:p>
  </w:endnote>
  <w:endnote w:type="continuationSeparator" w:id="0">
    <w:p w14:paraId="2F402266" w14:textId="77777777" w:rsidR="00617C93" w:rsidRDefault="00617C93" w:rsidP="00F371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FEB90E" w14:textId="77777777" w:rsidR="00617C93" w:rsidRDefault="00617C93" w:rsidP="00F37187">
      <w:pPr>
        <w:spacing w:after="0" w:line="240" w:lineRule="auto"/>
      </w:pPr>
      <w:r>
        <w:separator/>
      </w:r>
    </w:p>
  </w:footnote>
  <w:footnote w:type="continuationSeparator" w:id="0">
    <w:p w14:paraId="579C4D0A" w14:textId="77777777" w:rsidR="00617C93" w:rsidRDefault="00617C93" w:rsidP="00F3718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5F1"/>
    <w:rsid w:val="00055884"/>
    <w:rsid w:val="001D5B5B"/>
    <w:rsid w:val="002C0AB8"/>
    <w:rsid w:val="003C69FD"/>
    <w:rsid w:val="004E10CA"/>
    <w:rsid w:val="00524DC0"/>
    <w:rsid w:val="0053599B"/>
    <w:rsid w:val="005438D7"/>
    <w:rsid w:val="00617C93"/>
    <w:rsid w:val="00621864"/>
    <w:rsid w:val="0072436E"/>
    <w:rsid w:val="00745ABC"/>
    <w:rsid w:val="00947A4F"/>
    <w:rsid w:val="00984C1D"/>
    <w:rsid w:val="009F75F1"/>
    <w:rsid w:val="00BF6CEE"/>
    <w:rsid w:val="00C5115F"/>
    <w:rsid w:val="00CE6676"/>
    <w:rsid w:val="00D7374C"/>
    <w:rsid w:val="00DC1BCB"/>
    <w:rsid w:val="00DC552D"/>
    <w:rsid w:val="00F37187"/>
    <w:rsid w:val="00F67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82A56E"/>
  <w15:chartTrackingRefBased/>
  <w15:docId w15:val="{D4EDF937-59F6-4F0F-BA83-CD8993B3C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F37187"/>
    <w:pPr>
      <w:spacing w:after="0" w:line="240" w:lineRule="auto"/>
    </w:pPr>
    <w:rPr>
      <w:kern w:val="0"/>
      <w:sz w:val="20"/>
      <w:szCs w:val="20"/>
      <w14:ligatures w14:val="non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37187"/>
    <w:rPr>
      <w:kern w:val="0"/>
      <w:sz w:val="20"/>
      <w:szCs w:val="20"/>
      <w14:ligatures w14:val="none"/>
    </w:rPr>
  </w:style>
  <w:style w:type="character" w:styleId="FootnoteReference">
    <w:name w:val="footnote reference"/>
    <w:basedOn w:val="DefaultParagraphFont"/>
    <w:uiPriority w:val="99"/>
    <w:semiHidden/>
    <w:unhideWhenUsed/>
    <w:rsid w:val="00F37187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D737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737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7374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37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374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DC1F67-5E0B-4598-A663-9E836722C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1028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ws01</dc:creator>
  <cp:keywords/>
  <dc:description/>
  <cp:lastModifiedBy>ws03</cp:lastModifiedBy>
  <cp:revision>2</cp:revision>
  <dcterms:created xsi:type="dcterms:W3CDTF">2023-09-06T13:06:00Z</dcterms:created>
  <dcterms:modified xsi:type="dcterms:W3CDTF">2023-09-06T13:06:00Z</dcterms:modified>
</cp:coreProperties>
</file>